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65010D" w14:textId="4CE37D54" w:rsidR="00994E5F" w:rsidRPr="004B7E17" w:rsidRDefault="00F1679E" w:rsidP="00994E5F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F1679E">
        <w:rPr>
          <w:rFonts w:ascii="Arial" w:hAnsi="Arial" w:cs="Arial"/>
          <w:b/>
          <w:noProof/>
          <w:sz w:val="24"/>
          <w:szCs w:val="24"/>
        </w:rPr>
        <w:t>3GPPRAN4#86-Bis</w:t>
      </w:r>
      <w:r w:rsidR="00994E5F" w:rsidRPr="004B7E17">
        <w:rPr>
          <w:rFonts w:ascii="Arial" w:hAnsi="Arial" w:cs="Arial"/>
          <w:b/>
          <w:noProof/>
          <w:sz w:val="24"/>
          <w:szCs w:val="24"/>
        </w:rPr>
        <w:tab/>
      </w:r>
      <w:r w:rsidR="00DF587A">
        <w:rPr>
          <w:rFonts w:ascii="Arial" w:hAnsi="Arial" w:cs="Arial"/>
          <w:b/>
          <w:bCs/>
          <w:color w:val="808080"/>
          <w:sz w:val="26"/>
          <w:szCs w:val="26"/>
        </w:rPr>
        <w:t>R4-1805383</w:t>
      </w:r>
    </w:p>
    <w:p w14:paraId="6DE6455C" w14:textId="04A75EF0" w:rsidR="00994E5F" w:rsidRDefault="00F1679E" w:rsidP="00994E5F">
      <w:pPr>
        <w:pStyle w:val="Footer"/>
        <w:jc w:val="both"/>
        <w:rPr>
          <w:i w:val="0"/>
          <w:noProof w:val="0"/>
          <w:sz w:val="24"/>
          <w:szCs w:val="24"/>
          <w:lang w:eastAsia="ja-JP"/>
        </w:rPr>
      </w:pPr>
      <w:r>
        <w:rPr>
          <w:rFonts w:eastAsia="SimSun"/>
          <w:i w:val="0"/>
          <w:noProof w:val="0"/>
          <w:sz w:val="24"/>
          <w:szCs w:val="24"/>
        </w:rPr>
        <w:t>Melbourne</w:t>
      </w:r>
      <w:r w:rsidR="00994E5F">
        <w:rPr>
          <w:rFonts w:eastAsia="SimSun"/>
          <w:i w:val="0"/>
          <w:noProof w:val="0"/>
          <w:sz w:val="24"/>
          <w:szCs w:val="24"/>
        </w:rPr>
        <w:t xml:space="preserve">, </w:t>
      </w:r>
      <w:r>
        <w:rPr>
          <w:rFonts w:eastAsia="SimSun"/>
          <w:i w:val="0"/>
          <w:noProof w:val="0"/>
          <w:sz w:val="24"/>
          <w:szCs w:val="24"/>
        </w:rPr>
        <w:t>Australia</w:t>
      </w:r>
      <w:r w:rsidR="00994E5F">
        <w:rPr>
          <w:i w:val="0"/>
          <w:noProof w:val="0"/>
          <w:sz w:val="24"/>
          <w:szCs w:val="24"/>
          <w:lang w:eastAsia="ja-JP"/>
        </w:rPr>
        <w:t xml:space="preserve">, </w:t>
      </w:r>
      <w:r>
        <w:rPr>
          <w:i w:val="0"/>
          <w:noProof w:val="0"/>
          <w:sz w:val="24"/>
          <w:szCs w:val="24"/>
          <w:lang w:eastAsia="ja-JP"/>
        </w:rPr>
        <w:t>April</w:t>
      </w:r>
      <w:r w:rsidR="00012ADE">
        <w:rPr>
          <w:i w:val="0"/>
          <w:noProof w:val="0"/>
          <w:sz w:val="24"/>
          <w:szCs w:val="24"/>
          <w:lang w:eastAsia="ja-JP"/>
        </w:rPr>
        <w:t xml:space="preserve"> </w:t>
      </w:r>
      <w:r>
        <w:rPr>
          <w:i w:val="0"/>
          <w:noProof w:val="0"/>
          <w:sz w:val="24"/>
          <w:szCs w:val="24"/>
          <w:lang w:eastAsia="ja-JP"/>
        </w:rPr>
        <w:t>1</w:t>
      </w:r>
      <w:r w:rsidR="00012ADE">
        <w:rPr>
          <w:i w:val="0"/>
          <w:noProof w:val="0"/>
          <w:sz w:val="24"/>
          <w:szCs w:val="24"/>
          <w:lang w:eastAsia="ja-JP"/>
        </w:rPr>
        <w:t>6</w:t>
      </w:r>
      <w:r w:rsidR="00012ADE" w:rsidRPr="00012ADE">
        <w:rPr>
          <w:i w:val="0"/>
          <w:noProof w:val="0"/>
          <w:sz w:val="24"/>
          <w:szCs w:val="24"/>
          <w:vertAlign w:val="superscript"/>
          <w:lang w:eastAsia="ja-JP"/>
        </w:rPr>
        <w:t>th</w:t>
      </w:r>
      <w:r w:rsidR="00012ADE">
        <w:rPr>
          <w:i w:val="0"/>
          <w:noProof w:val="0"/>
          <w:sz w:val="24"/>
          <w:szCs w:val="24"/>
          <w:lang w:eastAsia="ja-JP"/>
        </w:rPr>
        <w:t xml:space="preserve"> – </w:t>
      </w:r>
      <w:r>
        <w:rPr>
          <w:i w:val="0"/>
          <w:noProof w:val="0"/>
          <w:sz w:val="24"/>
          <w:szCs w:val="24"/>
          <w:lang w:eastAsia="ja-JP"/>
        </w:rPr>
        <w:t>20</w:t>
      </w:r>
      <w:r w:rsidRPr="00F1679E">
        <w:rPr>
          <w:i w:val="0"/>
          <w:noProof w:val="0"/>
          <w:sz w:val="24"/>
          <w:szCs w:val="24"/>
          <w:vertAlign w:val="superscript"/>
          <w:lang w:eastAsia="ja-JP"/>
        </w:rPr>
        <w:t>th</w:t>
      </w:r>
      <w:r>
        <w:rPr>
          <w:i w:val="0"/>
          <w:noProof w:val="0"/>
          <w:sz w:val="24"/>
          <w:szCs w:val="24"/>
          <w:lang w:eastAsia="ja-JP"/>
        </w:rPr>
        <w:t xml:space="preserve"> </w:t>
      </w:r>
      <w:r w:rsidR="00290890">
        <w:rPr>
          <w:i w:val="0"/>
          <w:noProof w:val="0"/>
          <w:sz w:val="24"/>
          <w:szCs w:val="24"/>
          <w:lang w:eastAsia="ja-JP"/>
        </w:rPr>
        <w:t xml:space="preserve"> </w:t>
      </w:r>
    </w:p>
    <w:p w14:paraId="35FFBB28" w14:textId="77777777" w:rsidR="005E74BD" w:rsidRDefault="005E74BD" w:rsidP="007377BF">
      <w:pPr>
        <w:pStyle w:val="Footer"/>
        <w:jc w:val="both"/>
        <w:rPr>
          <w:noProof w:val="0"/>
        </w:rPr>
      </w:pPr>
    </w:p>
    <w:p w14:paraId="2EBBB431" w14:textId="378B2D49" w:rsidR="007377BF" w:rsidRPr="00A510C0" w:rsidRDefault="007377BF" w:rsidP="007377BF">
      <w:pPr>
        <w:tabs>
          <w:tab w:val="left" w:pos="1985"/>
        </w:tabs>
        <w:ind w:left="1980" w:hanging="1980"/>
        <w:jc w:val="both"/>
        <w:rPr>
          <w:rFonts w:ascii="Arial" w:eastAsia="SimSun" w:hAnsi="Arial"/>
          <w:sz w:val="24"/>
          <w:lang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CC3955" w:rsidRPr="00CC3955">
        <w:rPr>
          <w:rFonts w:ascii="Arial" w:hAnsi="Arial"/>
          <w:b/>
          <w:sz w:val="24"/>
        </w:rPr>
        <w:t>SCS</w:t>
      </w:r>
      <w:r w:rsidR="00CC3955">
        <w:rPr>
          <w:rFonts w:ascii="Arial" w:hAnsi="Arial"/>
          <w:b/>
          <w:sz w:val="24"/>
        </w:rPr>
        <w:t>,</w:t>
      </w:r>
      <w:r w:rsidR="00A25C82">
        <w:rPr>
          <w:rFonts w:ascii="Arial" w:hAnsi="Arial"/>
          <w:b/>
          <w:sz w:val="24"/>
        </w:rPr>
        <w:t xml:space="preserve"> </w:t>
      </w:r>
      <w:r w:rsidR="00CC3955">
        <w:rPr>
          <w:rFonts w:ascii="Arial" w:hAnsi="Arial"/>
          <w:b/>
          <w:sz w:val="24"/>
        </w:rPr>
        <w:t xml:space="preserve">BW </w:t>
      </w:r>
      <w:r w:rsidR="00CC3955" w:rsidRPr="00CC3955">
        <w:rPr>
          <w:rFonts w:ascii="Arial" w:hAnsi="Arial"/>
          <w:b/>
          <w:sz w:val="24"/>
        </w:rPr>
        <w:t xml:space="preserve">restrictions in </w:t>
      </w:r>
      <w:r w:rsidR="00F255F1">
        <w:rPr>
          <w:rFonts w:ascii="Arial" w:eastAsia="SimSun" w:hAnsi="Arial"/>
          <w:b/>
          <w:sz w:val="24"/>
          <w:lang w:eastAsia="zh-CN"/>
        </w:rPr>
        <w:t xml:space="preserve">BWP </w:t>
      </w:r>
      <w:r w:rsidR="00E60356">
        <w:rPr>
          <w:rFonts w:ascii="Arial" w:eastAsia="SimSun" w:hAnsi="Arial"/>
          <w:b/>
          <w:sz w:val="24"/>
          <w:lang w:eastAsia="zh-CN"/>
        </w:rPr>
        <w:t>restrictions based on channel BW</w:t>
      </w:r>
    </w:p>
    <w:p w14:paraId="71FC7A4A" w14:textId="77777777" w:rsidR="007377BF" w:rsidRPr="00D372E9" w:rsidRDefault="007377BF" w:rsidP="007377BF">
      <w:pPr>
        <w:tabs>
          <w:tab w:val="left" w:pos="1985"/>
        </w:tabs>
        <w:jc w:val="both"/>
        <w:rPr>
          <w:rFonts w:ascii="Arial" w:eastAsia="SimSun" w:hAnsi="Arial"/>
          <w:b/>
          <w:sz w:val="24"/>
          <w:lang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Pr="007377BF">
        <w:rPr>
          <w:rFonts w:ascii="Arial" w:eastAsia="SimSun" w:hAnsi="Arial"/>
          <w:b/>
          <w:sz w:val="24"/>
          <w:lang w:eastAsia="zh-CN"/>
        </w:rPr>
        <w:t>Qualcomm Incorporated</w:t>
      </w:r>
    </w:p>
    <w:p w14:paraId="7DEC5573" w14:textId="280D0483" w:rsidR="007377BF" w:rsidRPr="00D372E9" w:rsidRDefault="007377BF" w:rsidP="007377BF">
      <w:pPr>
        <w:tabs>
          <w:tab w:val="left" w:pos="1985"/>
        </w:tabs>
        <w:jc w:val="both"/>
        <w:rPr>
          <w:rFonts w:ascii="Arial" w:eastAsia="SimSun" w:hAnsi="Arial"/>
          <w:b/>
          <w:sz w:val="24"/>
          <w:lang w:eastAsia="zh-CN"/>
        </w:rPr>
      </w:pPr>
      <w:r w:rsidRPr="00D372E9">
        <w:rPr>
          <w:rFonts w:ascii="Arial" w:hAnsi="Arial"/>
          <w:b/>
          <w:sz w:val="24"/>
        </w:rPr>
        <w:t>Agenda item:</w:t>
      </w:r>
      <w:r w:rsidRPr="00D372E9">
        <w:rPr>
          <w:rFonts w:ascii="Arial" w:hAnsi="Arial"/>
          <w:b/>
          <w:sz w:val="24"/>
        </w:rPr>
        <w:tab/>
      </w:r>
      <w:r w:rsidR="0044118B">
        <w:rPr>
          <w:rFonts w:ascii="Arial" w:hAnsi="Arial"/>
          <w:b/>
          <w:sz w:val="24"/>
        </w:rPr>
        <w:t>7.</w:t>
      </w:r>
      <w:r w:rsidR="00DF587A">
        <w:rPr>
          <w:rFonts w:ascii="Arial" w:hAnsi="Arial"/>
          <w:b/>
          <w:sz w:val="24"/>
        </w:rPr>
        <w:t>3</w:t>
      </w:r>
      <w:r w:rsidR="0044118B">
        <w:rPr>
          <w:rFonts w:ascii="Arial" w:hAnsi="Arial"/>
          <w:b/>
          <w:sz w:val="24"/>
        </w:rPr>
        <w:t xml:space="preserve"> </w:t>
      </w:r>
      <w:r w:rsidR="00DF587A">
        <w:rPr>
          <w:rFonts w:ascii="Arial" w:hAnsi="Arial"/>
          <w:b/>
          <w:sz w:val="24"/>
        </w:rPr>
        <w:t xml:space="preserve">System Parameters </w:t>
      </w:r>
      <w:r w:rsidR="0044118B">
        <w:rPr>
          <w:rFonts w:ascii="Arial" w:hAnsi="Arial"/>
          <w:b/>
          <w:sz w:val="24"/>
        </w:rPr>
        <w:t>[</w:t>
      </w:r>
      <w:proofErr w:type="spellStart"/>
      <w:r w:rsidR="0044118B">
        <w:rPr>
          <w:rFonts w:ascii="Arial" w:hAnsi="Arial"/>
          <w:b/>
          <w:sz w:val="24"/>
        </w:rPr>
        <w:t>NR_newRAT</w:t>
      </w:r>
      <w:proofErr w:type="spellEnd"/>
      <w:r w:rsidR="0044118B">
        <w:rPr>
          <w:rFonts w:ascii="Arial" w:hAnsi="Arial"/>
          <w:b/>
          <w:sz w:val="24"/>
        </w:rPr>
        <w:t>-Core]</w:t>
      </w:r>
      <w:r w:rsidR="0044118B">
        <w:rPr>
          <w:rFonts w:ascii="Arial" w:hAnsi="Arial"/>
          <w:b/>
          <w:sz w:val="24"/>
        </w:rPr>
        <w:tab/>
      </w:r>
    </w:p>
    <w:p w14:paraId="6E97249F" w14:textId="77777777" w:rsidR="007377BF" w:rsidRPr="00E15948" w:rsidRDefault="007377BF" w:rsidP="00E15948">
      <w:pPr>
        <w:tabs>
          <w:tab w:val="left" w:pos="1985"/>
        </w:tabs>
        <w:ind w:left="1980" w:hanging="1980"/>
        <w:jc w:val="both"/>
        <w:rPr>
          <w:rFonts w:ascii="Arial" w:eastAsia="SimSun" w:hAnsi="Arial"/>
          <w:b/>
          <w:sz w:val="24"/>
          <w:lang w:eastAsia="zh-CN"/>
        </w:rPr>
      </w:pPr>
      <w:r w:rsidRPr="00D372E9">
        <w:rPr>
          <w:rFonts w:ascii="Arial" w:hAnsi="Arial"/>
          <w:b/>
          <w:sz w:val="24"/>
        </w:rPr>
        <w:t>Document for:</w:t>
      </w:r>
      <w:r w:rsidRPr="00D372E9">
        <w:rPr>
          <w:rFonts w:ascii="Arial" w:hAnsi="Arial"/>
          <w:b/>
          <w:sz w:val="24"/>
        </w:rPr>
        <w:tab/>
      </w:r>
      <w:r w:rsidRPr="00D372E9">
        <w:rPr>
          <w:rFonts w:ascii="Arial" w:eastAsia="SimSun" w:hAnsi="Arial" w:hint="eastAsia"/>
          <w:b/>
          <w:sz w:val="24"/>
          <w:lang w:eastAsia="zh-CN"/>
        </w:rPr>
        <w:t>Discussion</w:t>
      </w:r>
    </w:p>
    <w:p w14:paraId="3764CDBD" w14:textId="77777777" w:rsidR="007377BF" w:rsidRDefault="003C37CF">
      <w:r>
        <w:pict w14:anchorId="3C35B27E">
          <v:rect id="_x0000_i1025" style="width:0;height:1.5pt" o:hralign="center" o:hrstd="t" o:hr="t" fillcolor="#a0a0a0" stroked="f"/>
        </w:pict>
      </w:r>
    </w:p>
    <w:p w14:paraId="3135ADBE" w14:textId="77777777" w:rsidR="00E15948" w:rsidRPr="00E15948" w:rsidRDefault="00E15948" w:rsidP="00E15948">
      <w:pPr>
        <w:pStyle w:val="Heading1"/>
      </w:pPr>
      <w:r w:rsidRPr="00E15948">
        <w:t>Introduction</w:t>
      </w:r>
    </w:p>
    <w:p w14:paraId="735722F1" w14:textId="7C25F717" w:rsidR="00F255F1" w:rsidRDefault="00F255F1" w:rsidP="00F255F1">
      <w:r>
        <w:t xml:space="preserve">In </w:t>
      </w:r>
      <w:r w:rsidR="00CC3955">
        <w:t xml:space="preserve">this contribution, we provide our view on </w:t>
      </w:r>
      <w:r w:rsidR="00E60356">
        <w:t xml:space="preserve">restrictions </w:t>
      </w:r>
      <w:r w:rsidR="00CC3955">
        <w:t xml:space="preserve">on SCS, BW pairs </w:t>
      </w:r>
      <w:r w:rsidR="00E60356">
        <w:t xml:space="preserve">that need to be placed on the BWP’s based on the channel BW </w:t>
      </w:r>
      <w:r w:rsidR="003C37CF">
        <w:t>to</w:t>
      </w:r>
      <w:bookmarkStart w:id="0" w:name="_GoBack"/>
      <w:bookmarkEnd w:id="0"/>
      <w:r w:rsidR="00CC3955">
        <w:t xml:space="preserve"> not exceed UE capabilities. </w:t>
      </w:r>
      <w:r w:rsidR="00E60356">
        <w:t xml:space="preserve"> </w:t>
      </w:r>
      <w:r>
        <w:t xml:space="preserve"> </w:t>
      </w:r>
    </w:p>
    <w:p w14:paraId="70E47E58" w14:textId="77777777" w:rsidR="00E15948" w:rsidRDefault="00A40B5A" w:rsidP="00BF71E1">
      <w:pPr>
        <w:pStyle w:val="Heading1"/>
      </w:pPr>
      <w:r>
        <w:t>Discussion</w:t>
      </w:r>
    </w:p>
    <w:p w14:paraId="08CFED7C" w14:textId="77777777" w:rsidR="00486FD2" w:rsidRDefault="00486FD2" w:rsidP="00486FD2">
      <w:pPr>
        <w:pStyle w:val="Heading2"/>
      </w:pPr>
      <w:r>
        <w:t>Background</w:t>
      </w:r>
    </w:p>
    <w:p w14:paraId="2BD656BC" w14:textId="21EB1D40" w:rsidR="00486FD2" w:rsidRDefault="004924D1" w:rsidP="0078482A">
      <w:r>
        <w:t xml:space="preserve">In NR we have the concept of BWP for a UE where the gNodeB can configure the UE to a smaller chunk of BW within a CC rather than the full CC BW. From the UE perspective, this would be useful for power savings as the network can put the UE in a smaller BWP when there are no grants for that UE and then switch to a wider BW when there are grants. A BWP change could potentially entail a change to SCS, BW and LO frequency, or any subset of those. </w:t>
      </w:r>
      <w:r w:rsidR="00E60356">
        <w:t xml:space="preserve">However, it </w:t>
      </w:r>
      <w:r w:rsidR="00CC3955">
        <w:t xml:space="preserve">is up to </w:t>
      </w:r>
      <w:r w:rsidR="00E60356">
        <w:t xml:space="preserve">the UE to decide whether it wants to switch to a smaller BW to avail itself of the power savings or continue to operate in the CC BW. From the network perspective a UE that is switching to a smaller BW and one that is always operating in the CC BW are identical.  </w:t>
      </w:r>
    </w:p>
    <w:p w14:paraId="603AB846" w14:textId="4B31B231" w:rsidR="00CC3955" w:rsidRDefault="00E60356" w:rsidP="0078482A">
      <w:r>
        <w:t>Since the UE can choose to forego the power savings and always operate in the CC BW, this places certain limitations on BWP’s that can be configured</w:t>
      </w:r>
      <w:r w:rsidR="00CC3955">
        <w:t xml:space="preserve">. </w:t>
      </w:r>
      <w:r w:rsidR="00260A5B">
        <w:t>There</w:t>
      </w:r>
      <w:r w:rsidR="00CC3955">
        <w:t xml:space="preserve"> will be limitation</w:t>
      </w:r>
      <w:r w:rsidR="00260A5B">
        <w:t>s on the SCS, BW</w:t>
      </w:r>
      <w:r w:rsidR="00CC3955">
        <w:t xml:space="preserve"> pair of BWP. As an example, </w:t>
      </w:r>
      <w:r w:rsidR="00D3417F">
        <w:t>consider a UE with a maximum capability of 4K point FFT. From a demodulation perspective, this UE can support</w:t>
      </w:r>
      <w:r w:rsidR="00CC3955">
        <w:t xml:space="preserve"> C</w:t>
      </w:r>
      <w:r w:rsidR="00D3417F">
        <w:t>C BW of 100MHz with a 30KHz SCS</w:t>
      </w:r>
      <w:r w:rsidR="00CC3955">
        <w:t xml:space="preserve">. </w:t>
      </w:r>
      <w:r w:rsidR="00D3417F">
        <w:t>However, within that CC, this</w:t>
      </w:r>
      <w:r w:rsidR="00CC3955">
        <w:t xml:space="preserve"> UE cannot be configured with a BWP </w:t>
      </w:r>
      <w:r w:rsidR="00D3417F">
        <w:t>with BW</w:t>
      </w:r>
      <w:r w:rsidR="00CC3955">
        <w:t xml:space="preserve"> </w:t>
      </w:r>
      <w:r w:rsidR="00D3417F">
        <w:t xml:space="preserve">of </w:t>
      </w:r>
      <w:r w:rsidR="00CC3955">
        <w:t xml:space="preserve">50MHz </w:t>
      </w:r>
      <w:r w:rsidR="00D3417F">
        <w:t>and</w:t>
      </w:r>
      <w:r w:rsidR="00CC3955">
        <w:t xml:space="preserve"> 15Khz SCS. The reason here is that </w:t>
      </w:r>
      <w:r w:rsidR="00D3417F">
        <w:t>if the</w:t>
      </w:r>
      <w:r w:rsidR="00CC3955">
        <w:t xml:space="preserve"> UE decides to forego the power savings and keep operating in 100MHz RF BW, it would </w:t>
      </w:r>
      <w:r w:rsidR="00D3417F">
        <w:t xml:space="preserve">need to </w:t>
      </w:r>
      <w:r w:rsidR="00CC3955">
        <w:t>us</w:t>
      </w:r>
      <w:r w:rsidR="00D3417F">
        <w:t>e</w:t>
      </w:r>
      <w:r w:rsidR="00CC3955">
        <w:t xml:space="preserve"> </w:t>
      </w:r>
      <w:r w:rsidR="00260A5B">
        <w:t>an</w:t>
      </w:r>
      <w:r w:rsidR="00CC3955">
        <w:t xml:space="preserve"> 8K point FFT, which would be beyond the capabilities. Note, that this does not mean that UE cannot be configured with a 50Mhz, 15 SCS CC. That would of course be possible and UE in that would still be using a 4K point FFT. The restriction is only for the case where the CC BW is 100MHz with 30KHz SCS.</w:t>
      </w:r>
      <w:r w:rsidR="00B009D8">
        <w:t xml:space="preserve"> Similar limitations will be there for lower cost UE’s with smaller FFT sizes. </w:t>
      </w:r>
    </w:p>
    <w:p w14:paraId="2F7C42BA" w14:textId="77777777" w:rsidR="00D3417F" w:rsidRDefault="00D3417F" w:rsidP="0078482A"/>
    <w:p w14:paraId="042AB145" w14:textId="6AA84995" w:rsidR="00D3417F" w:rsidRPr="0078482A" w:rsidRDefault="00D3417F" w:rsidP="00D3417F">
      <w:r w:rsidRPr="00D3417F">
        <w:rPr>
          <w:b/>
        </w:rPr>
        <w:t>Proposal 1</w:t>
      </w:r>
      <w:r>
        <w:t xml:space="preserve">: SCS, BW pair of a BWP </w:t>
      </w:r>
      <w:r w:rsidR="00B009D8">
        <w:t>should</w:t>
      </w:r>
      <w:r>
        <w:t xml:space="preserve"> be restricted </w:t>
      </w:r>
      <w:r w:rsidR="00B009D8">
        <w:t>to the sets such</w:t>
      </w:r>
      <w:r>
        <w:t xml:space="preserve"> that UE can always operate in CC BW, irrespective of the BWP configured</w:t>
      </w:r>
      <w:r w:rsidR="003201D5">
        <w:t>.</w:t>
      </w:r>
      <w:r>
        <w:t xml:space="preserve"> </w:t>
      </w:r>
    </w:p>
    <w:p w14:paraId="0BDC7F1E" w14:textId="77777777" w:rsidR="006C4B0B" w:rsidRDefault="006C4B0B" w:rsidP="006C4B0B">
      <w:pPr>
        <w:pStyle w:val="Heading1"/>
      </w:pPr>
      <w:r>
        <w:lastRenderedPageBreak/>
        <w:t>Conclusions</w:t>
      </w:r>
    </w:p>
    <w:p w14:paraId="61303BCC" w14:textId="77777777" w:rsidR="003201D5" w:rsidRDefault="003201D5" w:rsidP="003201D5"/>
    <w:p w14:paraId="79EE0B55" w14:textId="1272F4BA" w:rsidR="00077458" w:rsidRPr="00077458" w:rsidRDefault="003201D5" w:rsidP="003201D5">
      <w:pPr>
        <w:rPr>
          <w:rFonts w:cstheme="minorHAnsi"/>
        </w:rPr>
      </w:pPr>
      <w:r w:rsidRPr="00D3417F">
        <w:rPr>
          <w:b/>
        </w:rPr>
        <w:t>Proposal 1</w:t>
      </w:r>
      <w:r>
        <w:t>: SCS, BW pair of a BWP should be restricted to the sets such that UE can always operate in CC BW, irrespective of the BWP configured.</w:t>
      </w:r>
      <w:r w:rsidR="00077458">
        <w:rPr>
          <w:rFonts w:cstheme="minorHAnsi"/>
        </w:rPr>
        <w:t xml:space="preserve"> </w:t>
      </w:r>
    </w:p>
    <w:sectPr w:rsidR="00077458" w:rsidRPr="0007745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00029"/>
    <w:multiLevelType w:val="hybridMultilevel"/>
    <w:tmpl w:val="AF2838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82775B"/>
    <w:multiLevelType w:val="multilevel"/>
    <w:tmpl w:val="0EBA3C4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82028CE"/>
    <w:multiLevelType w:val="hybridMultilevel"/>
    <w:tmpl w:val="BA2A92A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E831F1"/>
    <w:multiLevelType w:val="hybridMultilevel"/>
    <w:tmpl w:val="BA2A92A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D67"/>
    <w:rsid w:val="00000AD6"/>
    <w:rsid w:val="00010255"/>
    <w:rsid w:val="00012ADE"/>
    <w:rsid w:val="00063518"/>
    <w:rsid w:val="00077458"/>
    <w:rsid w:val="0008068B"/>
    <w:rsid w:val="000A400E"/>
    <w:rsid w:val="000A7CFE"/>
    <w:rsid w:val="000B5E3B"/>
    <w:rsid w:val="00170C35"/>
    <w:rsid w:val="001B0D58"/>
    <w:rsid w:val="00260A5B"/>
    <w:rsid w:val="00290890"/>
    <w:rsid w:val="002E7E26"/>
    <w:rsid w:val="003201D5"/>
    <w:rsid w:val="0036188A"/>
    <w:rsid w:val="00374315"/>
    <w:rsid w:val="003A11C1"/>
    <w:rsid w:val="003A4AFB"/>
    <w:rsid w:val="003B459E"/>
    <w:rsid w:val="003C37CF"/>
    <w:rsid w:val="003D04DF"/>
    <w:rsid w:val="00403DF2"/>
    <w:rsid w:val="00432D16"/>
    <w:rsid w:val="0044118B"/>
    <w:rsid w:val="00486FD2"/>
    <w:rsid w:val="004924D1"/>
    <w:rsid w:val="004B34F7"/>
    <w:rsid w:val="004E6A2A"/>
    <w:rsid w:val="00542E50"/>
    <w:rsid w:val="005520BD"/>
    <w:rsid w:val="0057302B"/>
    <w:rsid w:val="005D2E5A"/>
    <w:rsid w:val="005E74BD"/>
    <w:rsid w:val="00673C1D"/>
    <w:rsid w:val="006C4B0B"/>
    <w:rsid w:val="006F472F"/>
    <w:rsid w:val="00703089"/>
    <w:rsid w:val="00733F5F"/>
    <w:rsid w:val="007377BF"/>
    <w:rsid w:val="00750D68"/>
    <w:rsid w:val="0078482A"/>
    <w:rsid w:val="007C0DF6"/>
    <w:rsid w:val="007E7820"/>
    <w:rsid w:val="00815012"/>
    <w:rsid w:val="00883B2E"/>
    <w:rsid w:val="008A2940"/>
    <w:rsid w:val="008A5117"/>
    <w:rsid w:val="008F3395"/>
    <w:rsid w:val="008F7935"/>
    <w:rsid w:val="00943B69"/>
    <w:rsid w:val="00945C8B"/>
    <w:rsid w:val="00951BBA"/>
    <w:rsid w:val="00954552"/>
    <w:rsid w:val="00990DDB"/>
    <w:rsid w:val="00994E5F"/>
    <w:rsid w:val="009D1A20"/>
    <w:rsid w:val="009D66DD"/>
    <w:rsid w:val="009F2370"/>
    <w:rsid w:val="00A24B7F"/>
    <w:rsid w:val="00A25C82"/>
    <w:rsid w:val="00A40B5A"/>
    <w:rsid w:val="00A41ED4"/>
    <w:rsid w:val="00A42D45"/>
    <w:rsid w:val="00A7223A"/>
    <w:rsid w:val="00AA1979"/>
    <w:rsid w:val="00AA69AD"/>
    <w:rsid w:val="00AC1315"/>
    <w:rsid w:val="00B009D8"/>
    <w:rsid w:val="00B21EF3"/>
    <w:rsid w:val="00B22091"/>
    <w:rsid w:val="00BD18A1"/>
    <w:rsid w:val="00BF71E1"/>
    <w:rsid w:val="00C2177A"/>
    <w:rsid w:val="00C45A63"/>
    <w:rsid w:val="00C56E72"/>
    <w:rsid w:val="00CA14C2"/>
    <w:rsid w:val="00CB062C"/>
    <w:rsid w:val="00CC3955"/>
    <w:rsid w:val="00CD6567"/>
    <w:rsid w:val="00CE0CF3"/>
    <w:rsid w:val="00D06A85"/>
    <w:rsid w:val="00D3417F"/>
    <w:rsid w:val="00D44CC4"/>
    <w:rsid w:val="00DC1F94"/>
    <w:rsid w:val="00DC7E8E"/>
    <w:rsid w:val="00DF587A"/>
    <w:rsid w:val="00E152BF"/>
    <w:rsid w:val="00E15948"/>
    <w:rsid w:val="00E16545"/>
    <w:rsid w:val="00E60356"/>
    <w:rsid w:val="00EE6D67"/>
    <w:rsid w:val="00F02B06"/>
    <w:rsid w:val="00F1679E"/>
    <w:rsid w:val="00F255F1"/>
    <w:rsid w:val="00F3272A"/>
    <w:rsid w:val="00F44F7C"/>
    <w:rsid w:val="00F45595"/>
    <w:rsid w:val="00F677D2"/>
    <w:rsid w:val="00F9122F"/>
    <w:rsid w:val="00FA20D2"/>
    <w:rsid w:val="00FC58D7"/>
    <w:rsid w:val="00FD1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59A83A"/>
  <w15:chartTrackingRefBased/>
  <w15:docId w15:val="{B3E86CB7-6CBA-4485-BF89-82DE09428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15948"/>
  </w:style>
  <w:style w:type="paragraph" w:styleId="Heading1">
    <w:name w:val="heading 1"/>
    <w:basedOn w:val="Normal"/>
    <w:next w:val="Normal"/>
    <w:link w:val="Heading1Char"/>
    <w:uiPriority w:val="9"/>
    <w:qFormat/>
    <w:rsid w:val="00E15948"/>
    <w:pPr>
      <w:keepNext/>
      <w:keepLines/>
      <w:numPr>
        <w:numId w:val="11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15948"/>
    <w:pPr>
      <w:keepNext/>
      <w:keepLines/>
      <w:numPr>
        <w:ilvl w:val="1"/>
        <w:numId w:val="11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5948"/>
    <w:pPr>
      <w:keepNext/>
      <w:keepLines/>
      <w:numPr>
        <w:ilvl w:val="2"/>
        <w:numId w:val="1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15948"/>
    <w:pPr>
      <w:keepNext/>
      <w:keepLines/>
      <w:numPr>
        <w:ilvl w:val="3"/>
        <w:numId w:val="1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15948"/>
    <w:pPr>
      <w:keepNext/>
      <w:keepLines/>
      <w:numPr>
        <w:ilvl w:val="4"/>
        <w:numId w:val="11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15948"/>
    <w:pPr>
      <w:keepNext/>
      <w:keepLines/>
      <w:numPr>
        <w:ilvl w:val="5"/>
        <w:numId w:val="1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15948"/>
    <w:pPr>
      <w:keepNext/>
      <w:keepLines/>
      <w:numPr>
        <w:ilvl w:val="6"/>
        <w:numId w:val="1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15948"/>
    <w:pPr>
      <w:keepNext/>
      <w:keepLines/>
      <w:numPr>
        <w:ilvl w:val="7"/>
        <w:numId w:val="1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15948"/>
    <w:pPr>
      <w:keepNext/>
      <w:keepLines/>
      <w:numPr>
        <w:ilvl w:val="8"/>
        <w:numId w:val="1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E6D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E1594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TAC">
    <w:name w:val="TAC"/>
    <w:basedOn w:val="Normal"/>
    <w:link w:val="TACChar"/>
    <w:rsid w:val="00C2177A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har">
    <w:name w:val="TAC Char"/>
    <w:link w:val="TAC"/>
    <w:rsid w:val="00C2177A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rsid w:val="00C2177A"/>
    <w:rPr>
      <w:b/>
    </w:rPr>
  </w:style>
  <w:style w:type="character" w:customStyle="1" w:styleId="TAHCar">
    <w:name w:val="TAH Car"/>
    <w:link w:val="TAH"/>
    <w:rsid w:val="00C2177A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customStyle="1" w:styleId="TAN">
    <w:name w:val="TAN"/>
    <w:basedOn w:val="Normal"/>
    <w:link w:val="TANChar"/>
    <w:rsid w:val="00C2177A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NChar">
    <w:name w:val="TAN Char"/>
    <w:link w:val="TAN"/>
    <w:rsid w:val="00C2177A"/>
    <w:rPr>
      <w:rFonts w:ascii="Arial" w:eastAsia="Times New Roman" w:hAnsi="Arial" w:cs="Times New Roman"/>
      <w:sz w:val="18"/>
      <w:szCs w:val="20"/>
      <w:lang w:val="en-GB" w:eastAsia="x-none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377BF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eastAsia="zh-CN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377BF"/>
    <w:rPr>
      <w:rFonts w:ascii="Arial" w:eastAsia="MS Mincho" w:hAnsi="Arial" w:cs="Times New Roman"/>
      <w:b/>
      <w:noProof/>
      <w:sz w:val="18"/>
      <w:szCs w:val="20"/>
      <w:lang w:eastAsia="zh-CN"/>
    </w:rPr>
  </w:style>
  <w:style w:type="paragraph" w:styleId="Footer">
    <w:name w:val="footer"/>
    <w:basedOn w:val="Header"/>
    <w:link w:val="FooterChar"/>
    <w:uiPriority w:val="99"/>
    <w:rsid w:val="007377BF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7377BF"/>
    <w:rPr>
      <w:rFonts w:ascii="Arial" w:eastAsia="MS Mincho" w:hAnsi="Arial" w:cs="Times New Roman"/>
      <w:b/>
      <w:i/>
      <w:noProof/>
      <w:sz w:val="18"/>
      <w:szCs w:val="20"/>
      <w:lang w:eastAsia="zh-CN"/>
    </w:rPr>
  </w:style>
  <w:style w:type="paragraph" w:customStyle="1" w:styleId="CRCoverPage">
    <w:name w:val="CR Cover Page"/>
    <w:link w:val="CRCoverPageChar"/>
    <w:rsid w:val="007377B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7377BF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E15948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E15948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15948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5948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5948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5948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594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594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594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E15948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5948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5948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itleChar">
    <w:name w:val="Subtitle Char"/>
    <w:basedOn w:val="DefaultParagraphFont"/>
    <w:link w:val="Subtitle"/>
    <w:uiPriority w:val="11"/>
    <w:rsid w:val="00E15948"/>
    <w:rPr>
      <w:color w:val="5A5A5A" w:themeColor="text1" w:themeTint="A5"/>
      <w:spacing w:val="10"/>
    </w:rPr>
  </w:style>
  <w:style w:type="character" w:styleId="Strong">
    <w:name w:val="Strong"/>
    <w:basedOn w:val="DefaultParagraphFont"/>
    <w:uiPriority w:val="22"/>
    <w:qFormat/>
    <w:rsid w:val="00E15948"/>
    <w:rPr>
      <w:b/>
      <w:bCs/>
      <w:color w:val="000000" w:themeColor="text1"/>
    </w:rPr>
  </w:style>
  <w:style w:type="character" w:styleId="Emphasis">
    <w:name w:val="Emphasis"/>
    <w:basedOn w:val="DefaultParagraphFont"/>
    <w:uiPriority w:val="20"/>
    <w:qFormat/>
    <w:rsid w:val="00E15948"/>
    <w:rPr>
      <w:i/>
      <w:iCs/>
      <w:color w:val="auto"/>
    </w:rPr>
  </w:style>
  <w:style w:type="paragraph" w:styleId="NoSpacing">
    <w:name w:val="No Spacing"/>
    <w:uiPriority w:val="1"/>
    <w:qFormat/>
    <w:rsid w:val="00E15948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E15948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E15948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5948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5948"/>
    <w:rPr>
      <w:color w:val="000000" w:themeColor="text1"/>
      <w:shd w:val="clear" w:color="auto" w:fill="F2F2F2" w:themeFill="background1" w:themeFillShade="F2"/>
    </w:rPr>
  </w:style>
  <w:style w:type="character" w:styleId="SubtleEmphasis">
    <w:name w:val="Subtle Emphasis"/>
    <w:basedOn w:val="DefaultParagraphFont"/>
    <w:uiPriority w:val="19"/>
    <w:qFormat/>
    <w:rsid w:val="00E15948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E15948"/>
    <w:rPr>
      <w:b/>
      <w:bCs/>
      <w:i/>
      <w:iCs/>
      <w:caps/>
    </w:rPr>
  </w:style>
  <w:style w:type="character" w:styleId="SubtleReference">
    <w:name w:val="Subtle Reference"/>
    <w:basedOn w:val="DefaultParagraphFont"/>
    <w:uiPriority w:val="31"/>
    <w:qFormat/>
    <w:rsid w:val="00E15948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E15948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E15948"/>
    <w:rPr>
      <w:b w:val="0"/>
      <w:bCs w:val="0"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15948"/>
    <w:pPr>
      <w:outlineLvl w:val="9"/>
    </w:pPr>
  </w:style>
  <w:style w:type="character" w:styleId="PlaceholderText">
    <w:name w:val="Placeholder Text"/>
    <w:basedOn w:val="DefaultParagraphFont"/>
    <w:uiPriority w:val="99"/>
    <w:semiHidden/>
    <w:rsid w:val="006C4B0B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8A294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F677D2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24"/>
      <w:szCs w:val="24"/>
      <w:lang w:val="en-GB" w:eastAsia="ja-JP"/>
    </w:rPr>
  </w:style>
  <w:style w:type="paragraph" w:styleId="ListParagraph">
    <w:name w:val="List Paragraph"/>
    <w:basedOn w:val="Normal"/>
    <w:uiPriority w:val="34"/>
    <w:qFormat/>
    <w:rsid w:val="00486FD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42E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2E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01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EAC10D-69A7-472A-9A08-40C9EF892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Awlok Josan</dc:creator>
  <cp:keywords/>
  <dc:description/>
  <cp:lastModifiedBy>Awlok Josan</cp:lastModifiedBy>
  <cp:revision>3</cp:revision>
  <dcterms:created xsi:type="dcterms:W3CDTF">2018-04-06T17:58:00Z</dcterms:created>
  <dcterms:modified xsi:type="dcterms:W3CDTF">2018-04-06T17:59:00Z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